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3AD42" w14:textId="77777777" w:rsidR="00EE419C" w:rsidRDefault="00EE419C" w:rsidP="00EE419C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47A34BCA" wp14:editId="5E9F51C8">
            <wp:extent cx="1560195" cy="1604010"/>
            <wp:effectExtent l="0" t="0" r="1905" b="0"/>
            <wp:docPr id="1766216384" name="Imagem 1" descr="Immagine che contiene emblema, simbolo, cresta, cartone anima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Immagine che contiene emblema, simbolo, cresta, cartone animato&#10;&#10;Il contenuto generato dall'IA potrebbe non essere corretto.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0195" cy="160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A7759" w14:textId="77777777" w:rsidR="00EE419C" w:rsidRPr="001002B4" w:rsidRDefault="00EE419C" w:rsidP="00EE419C">
      <w:pPr>
        <w:jc w:val="center"/>
        <w:rPr>
          <w:rFonts w:ascii="Lato" w:hAnsi="Lato"/>
          <w:b/>
          <w:bCs/>
          <w:szCs w:val="28"/>
        </w:rPr>
      </w:pPr>
    </w:p>
    <w:p w14:paraId="200157EB" w14:textId="77777777" w:rsidR="00EE419C" w:rsidRPr="001002B4" w:rsidRDefault="00EE419C" w:rsidP="00EE419C">
      <w:pPr>
        <w:jc w:val="center"/>
        <w:rPr>
          <w:rFonts w:ascii="Lato" w:hAnsi="Lato"/>
          <w:b/>
          <w:bCs/>
          <w:szCs w:val="28"/>
        </w:rPr>
      </w:pPr>
    </w:p>
    <w:p w14:paraId="6E9689E4" w14:textId="69C5CF22" w:rsidR="00EE419C" w:rsidRPr="001903E1" w:rsidRDefault="00EE419C" w:rsidP="00EE419C">
      <w:pPr>
        <w:jc w:val="center"/>
        <w:rPr>
          <w:rFonts w:ascii="Lato" w:hAnsi="Lato"/>
          <w:b/>
          <w:bCs/>
          <w:sz w:val="28"/>
          <w:szCs w:val="28"/>
        </w:rPr>
      </w:pPr>
      <w:r w:rsidRPr="001903E1">
        <w:rPr>
          <w:rFonts w:ascii="Lato" w:hAnsi="Lato"/>
          <w:b/>
          <w:bCs/>
          <w:sz w:val="28"/>
          <w:szCs w:val="28"/>
        </w:rPr>
        <w:t>TEMA V</w:t>
      </w:r>
      <w:r>
        <w:rPr>
          <w:rFonts w:ascii="Lato" w:hAnsi="Lato"/>
          <w:b/>
          <w:bCs/>
          <w:sz w:val="28"/>
          <w:szCs w:val="28"/>
        </w:rPr>
        <w:t>II</w:t>
      </w:r>
    </w:p>
    <w:p w14:paraId="27962F5A" w14:textId="78765769" w:rsidR="00EE419C" w:rsidRDefault="00EE419C" w:rsidP="00EE419C">
      <w:pPr>
        <w:jc w:val="center"/>
        <w:rPr>
          <w:rFonts w:ascii="Lato" w:hAnsi="Lato" w:cs="Times New Roman"/>
          <w:b/>
          <w:bCs/>
          <w:sz w:val="28"/>
          <w:szCs w:val="28"/>
        </w:rPr>
      </w:pPr>
      <w:r>
        <w:rPr>
          <w:rFonts w:ascii="Lato" w:hAnsi="Lato" w:cs="Times New Roman"/>
          <w:b/>
          <w:bCs/>
          <w:sz w:val="28"/>
          <w:szCs w:val="28"/>
        </w:rPr>
        <w:t>AS FESTAS DO ANTIGO TESTAMENTO</w:t>
      </w:r>
    </w:p>
    <w:p w14:paraId="11648804" w14:textId="1BC3A82A" w:rsidR="00EE419C" w:rsidRDefault="00EE419C" w:rsidP="00EE419C">
      <w:pPr>
        <w:jc w:val="center"/>
        <w:rPr>
          <w:rFonts w:ascii="Lato" w:hAnsi="Lato" w:cs="Times New Roman"/>
          <w:b/>
          <w:bCs/>
          <w:sz w:val="28"/>
          <w:szCs w:val="28"/>
        </w:rPr>
      </w:pPr>
      <w:r>
        <w:rPr>
          <w:rFonts w:ascii="Lato" w:hAnsi="Lato" w:cs="Times New Roman"/>
          <w:b/>
          <w:bCs/>
          <w:sz w:val="28"/>
          <w:szCs w:val="28"/>
        </w:rPr>
        <w:t>LV 23-25</w:t>
      </w:r>
    </w:p>
    <w:p w14:paraId="599B43AA" w14:textId="77777777" w:rsidR="00EE419C" w:rsidRPr="00715F60" w:rsidRDefault="00EE419C" w:rsidP="00EE419C">
      <w:pPr>
        <w:jc w:val="center"/>
        <w:rPr>
          <w:rFonts w:ascii="Lato" w:hAnsi="Lato" w:cs="Times New Roman"/>
          <w:b/>
          <w:bCs/>
          <w:sz w:val="28"/>
          <w:szCs w:val="28"/>
        </w:rPr>
      </w:pPr>
    </w:p>
    <w:p w14:paraId="7C67B7A4" w14:textId="77777777" w:rsidR="00286A10" w:rsidRPr="00EE419C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5695F482" w14:textId="40254929" w:rsidR="00286A10" w:rsidRPr="00EE419C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Introdução: O Tempo como </w:t>
      </w:r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d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om de Deus</w:t>
      </w:r>
    </w:p>
    <w:p w14:paraId="447A75C6" w14:textId="77777777" w:rsidR="006F6E81" w:rsidRPr="00286A10" w:rsidRDefault="006F6E81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Cs w:val="24"/>
          <w:lang w:eastAsia="it-IT"/>
          <w14:ligatures w14:val="none"/>
        </w:rPr>
      </w:pPr>
    </w:p>
    <w:p w14:paraId="51D20BB9" w14:textId="77777777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Nos capítulos 23 a 25 do Levítico, o Senhor revela a Moisés a santificação do tempo. O Deus que libertou Israel do Egito agora consagra o calendário do seu povo, transformando o ritmo das estações e do trabalho em memória constante da aliança.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br/>
        <w:t>Assim, o tempo deixa de ser mera sucessão de dias e passa a ser espaço de encontro com o Santo. Cada festa, cada sábado e cada ano jubilar são sinais sacramentais da presença de Deus, que estrutura o tempo segundo o seu plano de salvação.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br/>
        <w:t>É nesse contexto que se compreende o conjunto das festas — pastorais, agrícolas e memoriais — que unificam o povo em torno da liturgia da vida, onde história e natureza, libertação e criação, tornam-se um só louvor.</w:t>
      </w:r>
    </w:p>
    <w:p w14:paraId="021892A6" w14:textId="31FD0B1C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val="it-IT" w:eastAsia="it-IT"/>
          <w14:ligatures w14:val="none"/>
        </w:rPr>
      </w:pPr>
    </w:p>
    <w:p w14:paraId="03BEA700" w14:textId="00F3507F" w:rsidR="00286A10" w:rsidRPr="00EE419C" w:rsidRDefault="006F6E81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1. </w:t>
      </w:r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A Páscoa: </w:t>
      </w:r>
      <w:r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fe</w:t>
      </w:r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sta </w:t>
      </w:r>
      <w:r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p</w:t>
      </w:r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astoril da </w:t>
      </w:r>
      <w:r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</w:t>
      </w:r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ibertação (</w:t>
      </w:r>
      <w:proofErr w:type="spellStart"/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Ex</w:t>
      </w:r>
      <w:proofErr w:type="spellEnd"/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12,1-14; </w:t>
      </w:r>
      <w:proofErr w:type="spellStart"/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="00286A10"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23,4-8)</w:t>
      </w:r>
    </w:p>
    <w:p w14:paraId="3E6C0190" w14:textId="77777777" w:rsidR="006F6E81" w:rsidRPr="00286A10" w:rsidRDefault="006F6E81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4419636C" w14:textId="77777777" w:rsidR="00286A10" w:rsidRPr="00286A10" w:rsidRDefault="00286A10" w:rsidP="006F6E81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A Páscoa tem origem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pré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-israelita, ligada a antigas tradições pastoris nômades. Era uma celebração anual, marcada por um rito de oferenda pela prosperidade dos rebanhos, quando os clãs migravam em busca de novas pastagens na primavera — época também do nascimento das crias.</w:t>
      </w:r>
    </w:p>
    <w:p w14:paraId="1D080E74" w14:textId="455CBC85" w:rsidR="00286A10" w:rsidRPr="00286A10" w:rsidRDefault="00286A10" w:rsidP="006F6E81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O cordeiro era assado, e não cozido (cf.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12,9), pois os nômades possuíam poucos utensílios de cozinha; por isso mesmo, os ossos não eram quebrados (cf.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12,9.46).</w:t>
      </w:r>
      <w:r w:rsid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A celebração acontecia ao anoitecer da primeira lua cheia da primavera (cf.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16,6), coincidindo com o retorno dos pastores ao acampamento, sob a noite mais clara do mês. Assim, tratava-se de uma festa pastoril, na qual se imolava um cordeiro novo e sem defeito em honra à divindade, e o sangue era colocado nas entradas das tendas, como rito de proteção contra o Exterminador.</w:t>
      </w:r>
    </w:p>
    <w:p w14:paraId="591F35BB" w14:textId="77777777" w:rsidR="00286A10" w:rsidRPr="00286A10" w:rsidRDefault="00286A10" w:rsidP="006F6E81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Segundo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12,11b-14.42, a saída do Egito teria ocorrido durante essa celebração, o que confere à Páscoa um significado salvífico e faz dela memorial da libertação.</w:t>
      </w:r>
    </w:p>
    <w:p w14:paraId="1D5D2C9D" w14:textId="53A006D0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val="it-IT" w:eastAsia="it-IT"/>
          <w14:ligatures w14:val="none"/>
        </w:rPr>
      </w:pPr>
    </w:p>
    <w:p w14:paraId="1A85492C" w14:textId="29B53A3A" w:rsidR="00286A10" w:rsidRPr="00286A10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2. Os Ázimos: </w:t>
      </w:r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f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esta </w:t>
      </w:r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a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grícola das </w:t>
      </w:r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p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rimícias (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12,34-39; 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23,6-14)</w:t>
      </w:r>
    </w:p>
    <w:p w14:paraId="0458536E" w14:textId="77777777" w:rsidR="006F6E81" w:rsidRDefault="006F6E81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</w:p>
    <w:p w14:paraId="0654D110" w14:textId="11B9149C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Os Ázimos, por sua vez, eram uma festa de origem agrícola, própria dos agricultores de Canaã, marcando o início da colheita da cevada — o primeiro cereal colhido na estação.</w:t>
      </w:r>
    </w:p>
    <w:p w14:paraId="7EE50F80" w14:textId="77777777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Durava sete dias, sendo que no primeiro e no último não se trabalhava. Durante esse período, celebravam-se banquetes sagrados com pães feitos de farinha do novo grão, e ofereciam-se as primícias da colheita à divindade.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br/>
        <w:t xml:space="preserve">O texto de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12,34-39 sugere que a saída do Egito também se deu por ocasião desta festa, o que mostra a sobreposição de tradições, integrando o mundo agrícola ao pastoral.</w:t>
      </w:r>
    </w:p>
    <w:p w14:paraId="3490A6A6" w14:textId="3D324B01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</w:pPr>
    </w:p>
    <w:p w14:paraId="2C55FF9A" w14:textId="1CBED133" w:rsidR="00286A10" w:rsidRPr="00EE419C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3. A </w:t>
      </w:r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u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nificação das </w:t>
      </w:r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f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estas e a </w:t>
      </w:r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r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eleitura </w:t>
      </w:r>
      <w:proofErr w:type="spellStart"/>
      <w:r w:rsidR="006F6E81" w:rsidRPr="00EE419C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d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euteronomista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(2Cr 35,17; 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13,3-10)</w:t>
      </w:r>
    </w:p>
    <w:p w14:paraId="585800C2" w14:textId="77777777" w:rsidR="006F6E81" w:rsidRPr="00286A10" w:rsidRDefault="006F6E81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Cs w:val="24"/>
          <w:lang w:eastAsia="it-IT"/>
          <w14:ligatures w14:val="none"/>
        </w:rPr>
      </w:pPr>
    </w:p>
    <w:p w14:paraId="64BB9548" w14:textId="7103C8C6" w:rsid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Essas duas celebrações — uma de origem pastoril, outra agrícola — foram unificadas apenas na reforma religiosa do rei Josias (640–609 a.C.; cf. 2Cr 35,17).</w:t>
      </w:r>
      <w:r w:rsidR="00274ADF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Nesse contexto, o autor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deuteronomista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(D) reinterpretou seus significados, como se vê em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Ex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12,24-27 e 13,3-10, conferindo-lhes um sentido teológico novo: as festas deixam de expressar apenas ciclos naturais e passam a proclamar a ação salvífica de Deus em favor de seu povo.</w:t>
      </w:r>
      <w:r w:rsidR="00274ADF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Assim, a Páscoa judaica tornou-se figura preparatória da Páscoa cristã: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«Cristo, o Cordeiro de Deus, é imolado (na Cruz) e comido (na Ceia) no contexto da Páscoa judaica — o que a Igreja celebra na Semana Santa»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(cf. </w:t>
      </w:r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Bíblia de Jerusalém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).</w:t>
      </w:r>
    </w:p>
    <w:p w14:paraId="0B3C4AD0" w14:textId="77777777" w:rsidR="00274ADF" w:rsidRPr="00286A10" w:rsidRDefault="00274ADF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eastAsia="it-IT"/>
          <w14:ligatures w14:val="none"/>
        </w:rPr>
      </w:pPr>
    </w:p>
    <w:p w14:paraId="2E1930EF" w14:textId="77777777" w:rsidR="00286A10" w:rsidRPr="00EE419C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4. A Festa das Semanas ou Pentecostes (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23,15-22)</w:t>
      </w:r>
    </w:p>
    <w:p w14:paraId="082A4D25" w14:textId="77777777" w:rsidR="00274ADF" w:rsidRPr="00286A10" w:rsidRDefault="00274ADF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1777096F" w14:textId="77777777" w:rsidR="00286A10" w:rsidRPr="00286A10" w:rsidRDefault="00286A10" w:rsidP="00274ADF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A Festa das Semanas, chamada em hebraico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Shavuot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e em grego Pentecostes, era celebrada cinquenta dias após a Páscoa, por isso o nome </w:t>
      </w:r>
      <w:proofErr w:type="spellStart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pentēkostē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(“quinquagésimo”).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br/>
        <w:t xml:space="preserve">Originalmente, tratava-se de uma festa agrícola, marcando o fim da colheita da cevada e o início da colheita do trigo. O rito consistia na oferta das primícias dos novos frutos, reconhecendo que a terra e o seu fruto pertencem a Deus (cf.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23,17-20).</w:t>
      </w:r>
    </w:p>
    <w:p w14:paraId="4CB19B2D" w14:textId="722C5D6B" w:rsidR="00286A10" w:rsidRDefault="00286A10" w:rsidP="00274ADF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Com o tempo, sobretudo após o exílio babilônico, a festa passou a recordar também a entrega da Lei no Sinai, de modo que o Pentecostes </w:t>
      </w:r>
      <w:proofErr w:type="gram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tornou-se</w:t>
      </w:r>
      <w:proofErr w:type="gram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memorial da aliança: o povo celebra não apenas os dons da terra, mas também o dom da Palavra, que orienta o caminho da liberdade.</w:t>
      </w:r>
    </w:p>
    <w:p w14:paraId="549ADB7F" w14:textId="709121A0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val="it-IT" w:eastAsia="it-IT"/>
          <w14:ligatures w14:val="none"/>
        </w:rPr>
      </w:pPr>
    </w:p>
    <w:p w14:paraId="53E38249" w14:textId="77777777" w:rsidR="00286A10" w:rsidRPr="00EE419C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5. A Festa das Trombetas (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23,23-25)</w:t>
      </w:r>
    </w:p>
    <w:p w14:paraId="74F469FF" w14:textId="77777777" w:rsidR="00274ADF" w:rsidRPr="00286A10" w:rsidRDefault="00274ADF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54421D26" w14:textId="77777777" w:rsidR="00286A10" w:rsidRPr="006F6E81" w:rsidRDefault="00286A10" w:rsidP="006F6E81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No primeiro dia do sétimo mês (aproximadamente setembro), celebrava-se a Festa das Trombetas, também conhecida como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Rosh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Hashaná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, o Ano Novo judaico.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 toque das trombetas (</w:t>
      </w:r>
      <w:proofErr w:type="spellStart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shofar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, feito de chifre de carneiro) anunciava o início de um tempo sagrado, chamando o povo à conversão e à memória da criação.</w:t>
      </w:r>
    </w:p>
    <w:p w14:paraId="4BE05FE8" w14:textId="5F935638" w:rsidR="00286A10" w:rsidRPr="00286A10" w:rsidRDefault="00286A10" w:rsidP="006F6E81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Era um “sábado solene”, marcado pelo descanso e pela assembleia litúrgica, sinal de que toda renovação começa com a escuta da voz de Deus.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Na tradição judaica posterior, esta festa passou a ser associada ao julgamento de Deus sobre as nações e à recordação do sopro criador — a trombeta que desperta o homem para o arrependimento e o recomeço.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</w:p>
    <w:p w14:paraId="79CC1F52" w14:textId="0677693F" w:rsid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val="it-IT" w:eastAsia="it-IT"/>
          <w14:ligatures w14:val="none"/>
        </w:rPr>
      </w:pPr>
    </w:p>
    <w:p w14:paraId="320D14CA" w14:textId="77777777" w:rsidR="00631B29" w:rsidRPr="00286A10" w:rsidRDefault="00631B29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val="it-IT" w:eastAsia="it-IT"/>
          <w14:ligatures w14:val="none"/>
        </w:rPr>
      </w:pPr>
    </w:p>
    <w:p w14:paraId="26DA770A" w14:textId="77777777" w:rsidR="00286A10" w:rsidRPr="00EE419C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6. O Dia da Expiação (</w:t>
      </w:r>
      <w:proofErr w:type="spellStart"/>
      <w:r w:rsidRPr="00286A10">
        <w:rPr>
          <w:rFonts w:ascii="Lato" w:eastAsia="Times New Roman" w:hAnsi="Lato" w:cs="Times New Roman"/>
          <w:b/>
          <w:bCs/>
          <w:i/>
          <w:iCs/>
          <w:kern w:val="0"/>
          <w:sz w:val="28"/>
          <w:szCs w:val="28"/>
          <w:lang w:eastAsia="it-IT"/>
          <w14:ligatures w14:val="none"/>
        </w:rPr>
        <w:t>Yom</w:t>
      </w:r>
      <w:proofErr w:type="spellEnd"/>
      <w:r w:rsidRPr="00286A10">
        <w:rPr>
          <w:rFonts w:ascii="Lato" w:eastAsia="Times New Roman" w:hAnsi="Lato" w:cs="Times New Roman"/>
          <w:b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</w:t>
      </w:r>
      <w:proofErr w:type="spellStart"/>
      <w:r w:rsidRPr="00286A10">
        <w:rPr>
          <w:rFonts w:ascii="Lato" w:eastAsia="Times New Roman" w:hAnsi="Lato" w:cs="Times New Roman"/>
          <w:b/>
          <w:bCs/>
          <w:i/>
          <w:iCs/>
          <w:kern w:val="0"/>
          <w:sz w:val="28"/>
          <w:szCs w:val="28"/>
          <w:lang w:eastAsia="it-IT"/>
          <w14:ligatures w14:val="none"/>
        </w:rPr>
        <w:t>Kippur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) (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23,26-32)</w:t>
      </w:r>
    </w:p>
    <w:p w14:paraId="151D5DE3" w14:textId="77777777" w:rsidR="00274ADF" w:rsidRPr="00286A10" w:rsidRDefault="00274ADF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49081F69" w14:textId="77777777" w:rsidR="00286A10" w:rsidRPr="006F6E81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De todas as solenidades, o Dia da Expiação — </w:t>
      </w:r>
      <w:proofErr w:type="spellStart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Yom</w:t>
      </w:r>
      <w:proofErr w:type="spellEnd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 xml:space="preserve"> </w:t>
      </w:r>
      <w:proofErr w:type="spellStart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Kippur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— é o ápice da liturgia penitencial de Israel. Celebrado no décimo dia do sétimo mês, era um jejum absoluto, em que o povo inteiro se humilhava diante do Senhor para obter a purificação dos pecados.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</w:p>
    <w:p w14:paraId="4016D9FA" w14:textId="77777777" w:rsid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O sumo sacerdote, depois de oferecer sacrifícios por si e pelo povo, entrava uma vez por ano no Santo dos Santos (cf.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16), levando o sangue da vítima para aspergir o propiciatório — símbolo da presença divina.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Outro animal, o “bode emissário”, recebia sobre si as culpas do povo e era enviado ao deserto, representando a remoção do pecado para fora do acampamento.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</w:p>
    <w:p w14:paraId="0ED6B18E" w14:textId="77777777" w:rsidR="00274ADF" w:rsidRPr="00631B29" w:rsidRDefault="00274ADF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eastAsia="it-IT"/>
          <w14:ligatures w14:val="none"/>
        </w:rPr>
      </w:pPr>
    </w:p>
    <w:p w14:paraId="58161F4E" w14:textId="77777777" w:rsidR="00286A10" w:rsidRPr="00631B29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7. A Festa das Tendas (</w:t>
      </w:r>
      <w:proofErr w:type="spellStart"/>
      <w:r w:rsidRPr="00286A10">
        <w:rPr>
          <w:rFonts w:ascii="Lato" w:eastAsia="Times New Roman" w:hAnsi="Lato" w:cs="Times New Roman"/>
          <w:b/>
          <w:bCs/>
          <w:i/>
          <w:iCs/>
          <w:kern w:val="0"/>
          <w:sz w:val="28"/>
          <w:szCs w:val="28"/>
          <w:lang w:eastAsia="it-IT"/>
          <w14:ligatures w14:val="none"/>
        </w:rPr>
        <w:t>Sukkot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) (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23,33-43)</w:t>
      </w:r>
    </w:p>
    <w:p w14:paraId="377464A9" w14:textId="77777777" w:rsidR="00274ADF" w:rsidRPr="00286A10" w:rsidRDefault="00274ADF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63BBC59B" w14:textId="77777777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A Festa das Tendas, também chamada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Sukkot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, era uma das mais alegres solenidades do calendário israelita. Celebrada no décimo quinto dia do sétimo mês, após a colheita dos frutos, durava sete dias, durante os quais o povo habitaria em cabanas (</w:t>
      </w:r>
      <w:proofErr w:type="spellStart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sukkot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), lembrando o tempo da peregrinação no deserto, quando Israel vivia sob a tenda da presença divina.</w:t>
      </w:r>
    </w:p>
    <w:p w14:paraId="3598B615" w14:textId="4CA6D2D1" w:rsidR="00286A10" w:rsidRDefault="00286A10" w:rsidP="00274ADF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Essa festa unia gratidão e memória, recordando que Deus sustentou seu povo na travessia e deu-lhe a terra fértil.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 ritual incluía libações de água e procissões com ramos de palmeira, mirto e salgueiro — símbolos de alegria e bênção.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Na tradição profética, </w:t>
      </w:r>
      <w:proofErr w:type="spellStart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Sukkot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tornou-se também um símbolo escatológico: todos os povos subirão a Jerusalém para adorar o Senhor sob a sua tenda (cf.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Zc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14,16-19).</w:t>
      </w:r>
    </w:p>
    <w:p w14:paraId="32BC9BCE" w14:textId="77777777" w:rsidR="00274ADF" w:rsidRPr="00286A10" w:rsidRDefault="00274ADF" w:rsidP="00274ADF">
      <w:pPr>
        <w:spacing w:after="0" w:line="240" w:lineRule="auto"/>
        <w:jc w:val="both"/>
        <w:rPr>
          <w:rFonts w:ascii="Lato" w:eastAsia="Times New Roman" w:hAnsi="Lato" w:cs="Times New Roman"/>
          <w:kern w:val="0"/>
          <w:sz w:val="28"/>
          <w:szCs w:val="28"/>
          <w:lang w:eastAsia="it-IT"/>
          <w14:ligatures w14:val="none"/>
        </w:rPr>
      </w:pPr>
    </w:p>
    <w:p w14:paraId="07895F98" w14:textId="77777777" w:rsidR="00286A10" w:rsidRPr="00631B29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8. O Ano Sabático (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25,1-7)</w:t>
      </w:r>
    </w:p>
    <w:p w14:paraId="2CDDF790" w14:textId="77777777" w:rsidR="00274ADF" w:rsidRPr="00286A10" w:rsidRDefault="00274ADF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3C250650" w14:textId="38F95A18" w:rsidR="00286A10" w:rsidRPr="00286A10" w:rsidRDefault="00286A10" w:rsidP="00274ADF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A cada sete anos, a terra devia descansar: não se cultivava nem se colhia, e todos — inclusive estrangeiros e animais — podiam comer do que nascesse espontaneamente.</w:t>
      </w:r>
      <w:r w:rsidR="006F6E81"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Esse mandamento proclamava que a terra pertence ao Senhor (cf.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25,23) e que o homem é apenas administrador, chamado a respeitar o ritmo da criação.</w:t>
      </w:r>
      <w:r w:rsidR="006F6E81"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 descanso sabático da terra era também um ato de confiança, um convite à fé naquele que sustenta seu povo mesmo quando ele cessa o trabalho.</w:t>
      </w:r>
    </w:p>
    <w:p w14:paraId="736FF876" w14:textId="51022A2D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 w:val="28"/>
          <w:szCs w:val="28"/>
          <w:lang w:val="it-IT" w:eastAsia="it-IT"/>
          <w14:ligatures w14:val="none"/>
        </w:rPr>
      </w:pPr>
    </w:p>
    <w:p w14:paraId="299BB90F" w14:textId="77777777" w:rsidR="00286A10" w:rsidRPr="00631B29" w:rsidRDefault="00286A10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9. O Ano Jubilar (</w:t>
      </w:r>
      <w:proofErr w:type="spellStart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Lv</w:t>
      </w:r>
      <w:proofErr w:type="spellEnd"/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25,8-55)</w:t>
      </w:r>
    </w:p>
    <w:p w14:paraId="711E01CB" w14:textId="77777777" w:rsidR="00274ADF" w:rsidRPr="00286A10" w:rsidRDefault="00274ADF" w:rsidP="006F6E81">
      <w:pPr>
        <w:spacing w:after="0" w:line="240" w:lineRule="auto"/>
        <w:outlineLvl w:val="2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1E31118D" w14:textId="77777777" w:rsidR="00274ADF" w:rsidRDefault="00286A10" w:rsidP="00274ADF">
      <w:pPr>
        <w:spacing w:after="0" w:line="240" w:lineRule="auto"/>
        <w:jc w:val="both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Após sete semanas de anos (7×7 = 49 anos), o quinquagésimo ano era proclamado com som de trombeta (</w:t>
      </w:r>
      <w:proofErr w:type="spellStart"/>
      <w:r w:rsidRPr="00286A10">
        <w:rPr>
          <w:rFonts w:ascii="Lato" w:eastAsia="Times New Roman" w:hAnsi="Lato" w:cs="Times New Roman"/>
          <w:i/>
          <w:iCs/>
          <w:kern w:val="0"/>
          <w:szCs w:val="24"/>
          <w:lang w:eastAsia="it-IT"/>
          <w14:ligatures w14:val="none"/>
        </w:rPr>
        <w:t>yobel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, de onde vem “jubileu”).</w:t>
      </w:r>
      <w:r w:rsidR="006F6E81"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Nesse tempo, toda a terra devia ser restaurada ao seu dono original, e os escravos libertos retornavam às suas famílias.</w:t>
      </w:r>
      <w:r w:rsidR="006F6E81"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 Jubileu era, portanto, um ano de libertação e restituição, expressão concreta da justiça divina e da fraternidade que nasce da Aliança.</w:t>
      </w:r>
      <w:r w:rsidR="006F6E81"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Ao proclamar o Jubileu, Israel reconhecia que a liberdade é dom de Deus e que nenhum homem pode possuir o outro.</w:t>
      </w:r>
    </w:p>
    <w:p w14:paraId="5CD59908" w14:textId="5B7B0106" w:rsidR="00286A10" w:rsidRPr="00286A10" w:rsidRDefault="00286A10" w:rsidP="00274ADF">
      <w:pPr>
        <w:spacing w:after="0" w:line="240" w:lineRule="auto"/>
        <w:jc w:val="both"/>
        <w:rPr>
          <w:rFonts w:ascii="Lato" w:eastAsia="Times New Roman" w:hAnsi="Lato" w:cs="Times New Roman"/>
          <w:kern w:val="0"/>
          <w:sz w:val="28"/>
          <w:szCs w:val="28"/>
          <w:lang w:val="it-IT" w:eastAsia="it-IT"/>
          <w14:ligatures w14:val="none"/>
        </w:rPr>
      </w:pPr>
    </w:p>
    <w:p w14:paraId="18984B6C" w14:textId="43D0A79D" w:rsidR="006F6E81" w:rsidRPr="00631B29" w:rsidRDefault="00286A10" w:rsidP="006F6E81">
      <w:pPr>
        <w:spacing w:after="0" w:line="240" w:lineRule="auto"/>
        <w:outlineLvl w:val="1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Conclusão: O </w:t>
      </w:r>
      <w:r w:rsidR="006F6E81" w:rsidRPr="00631B29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t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empo </w:t>
      </w:r>
      <w:r w:rsidR="006F6E81" w:rsidRPr="00631B29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r</w:t>
      </w:r>
      <w:r w:rsidRPr="00286A10"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  <w:t>edimido pela Presença</w:t>
      </w:r>
    </w:p>
    <w:p w14:paraId="5CBD5066" w14:textId="77777777" w:rsidR="00274ADF" w:rsidRPr="00286A10" w:rsidRDefault="00274ADF" w:rsidP="006F6E81">
      <w:pPr>
        <w:spacing w:after="0" w:line="240" w:lineRule="auto"/>
        <w:outlineLvl w:val="1"/>
        <w:rPr>
          <w:rFonts w:ascii="Lato" w:eastAsia="Times New Roman" w:hAnsi="Lato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744EDBD4" w14:textId="1AB987CC" w:rsidR="006F6E81" w:rsidRPr="00286A10" w:rsidRDefault="006F6E81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Em L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vítico 23–25, o Senhor ensina Israel a viver o tempo como dom e liturgia. Cada festa é memorial da criação e da libertação, convidando o povo a lembrar o passado, consagrar o presente e esperar o futuro.</w:t>
      </w:r>
      <w:r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Na Páscoa e nos Ázimos, a história humana é inserida no ritmo divino, e o alimento — pão e cordeiro — torna-se sinal da presença salvadora de Deus.</w:t>
      </w:r>
    </w:p>
    <w:p w14:paraId="6D758F7D" w14:textId="65C24A45" w:rsidR="006F6E81" w:rsidRPr="006F6E81" w:rsidRDefault="006F6E81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Por isso, a celebração do tempo litúrgico de Israel não é mera recordação, mas participação viva na obra de Deus, que culminará na plenitude da Páscoa de Cristo — quando o tempo será redimido e todas as festas encontrarão cumprimento no Reino eterno.</w:t>
      </w:r>
    </w:p>
    <w:p w14:paraId="464D992A" w14:textId="533D82F5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Os capítulos 23 a 25 do Levítico compõem um grande catecismo litúrgico, em que o tempo humano é reconfigurado pela presença do Santo.</w:t>
      </w:r>
      <w:r w:rsidR="006F6E81" w:rsidRPr="006F6E81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 xml:space="preserve"> </w:t>
      </w: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Cada festa, cada repouso e cada jubileu recordam que a história de Israel é guiada por Deus, e que a vida só encontra sentido quando ritmada pela aliança.</w:t>
      </w:r>
    </w:p>
    <w:p w14:paraId="29F9BC1F" w14:textId="77777777" w:rsidR="00286A10" w:rsidRPr="00286A10" w:rsidRDefault="00286A10" w:rsidP="006F6E81">
      <w:p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No Novo Testamento, essas celebrações encontram seu cumprimento em Cristo, no qual todas as festas convergem:</w:t>
      </w:r>
    </w:p>
    <w:p w14:paraId="6CB2BF42" w14:textId="77777777" w:rsidR="00286A10" w:rsidRPr="00286A10" w:rsidRDefault="00286A10" w:rsidP="006F6E81">
      <w:pPr>
        <w:numPr>
          <w:ilvl w:val="0"/>
          <w:numId w:val="1"/>
        </w:num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Ele é o Cordeiro pascal;</w:t>
      </w:r>
    </w:p>
    <w:p w14:paraId="20604A8E" w14:textId="77777777" w:rsidR="00286A10" w:rsidRPr="00286A10" w:rsidRDefault="00286A10" w:rsidP="006F6E81">
      <w:pPr>
        <w:numPr>
          <w:ilvl w:val="0"/>
          <w:numId w:val="1"/>
        </w:num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 Pão sem fermento da pureza;</w:t>
      </w:r>
    </w:p>
    <w:p w14:paraId="2918DB91" w14:textId="77777777" w:rsidR="00286A10" w:rsidRPr="00286A10" w:rsidRDefault="00286A10" w:rsidP="006F6E81">
      <w:pPr>
        <w:numPr>
          <w:ilvl w:val="0"/>
          <w:numId w:val="1"/>
        </w:num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O Dom da Lei viva no Pentecostes;</w:t>
      </w:r>
    </w:p>
    <w:p w14:paraId="39AC0312" w14:textId="77777777" w:rsidR="00286A10" w:rsidRPr="00286A10" w:rsidRDefault="00286A10" w:rsidP="006F6E81">
      <w:pPr>
        <w:numPr>
          <w:ilvl w:val="0"/>
          <w:numId w:val="1"/>
        </w:numPr>
        <w:spacing w:after="0" w:line="240" w:lineRule="auto"/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 xml:space="preserve">A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>Trombeta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 xml:space="preserve"> da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>Ressurreição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>;</w:t>
      </w:r>
    </w:p>
    <w:p w14:paraId="16FEA8A0" w14:textId="77777777" w:rsidR="00286A10" w:rsidRPr="00286A10" w:rsidRDefault="00286A10" w:rsidP="006F6E81">
      <w:pPr>
        <w:numPr>
          <w:ilvl w:val="0"/>
          <w:numId w:val="1"/>
        </w:numPr>
        <w:spacing w:after="0" w:line="240" w:lineRule="auto"/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 xml:space="preserve">O Sacerdote da </w:t>
      </w:r>
      <w:proofErr w:type="spellStart"/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>Expiação</w:t>
      </w:r>
      <w:proofErr w:type="spellEnd"/>
      <w:r w:rsidRPr="00286A10">
        <w:rPr>
          <w:rFonts w:ascii="Lato" w:eastAsia="Times New Roman" w:hAnsi="Lato" w:cs="Times New Roman"/>
          <w:kern w:val="0"/>
          <w:szCs w:val="24"/>
          <w:lang w:val="it-IT" w:eastAsia="it-IT"/>
          <w14:ligatures w14:val="none"/>
        </w:rPr>
        <w:t>;</w:t>
      </w:r>
    </w:p>
    <w:p w14:paraId="4297C8DC" w14:textId="77777777" w:rsidR="00286A10" w:rsidRPr="00286A10" w:rsidRDefault="00286A10" w:rsidP="006F6E81">
      <w:pPr>
        <w:numPr>
          <w:ilvl w:val="0"/>
          <w:numId w:val="1"/>
        </w:num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A Tenda de Deus entre os homens;</w:t>
      </w:r>
    </w:p>
    <w:p w14:paraId="54016561" w14:textId="77777777" w:rsidR="00286A10" w:rsidRPr="00286A10" w:rsidRDefault="00286A10" w:rsidP="006F6E81">
      <w:pPr>
        <w:numPr>
          <w:ilvl w:val="0"/>
          <w:numId w:val="1"/>
        </w:numPr>
        <w:spacing w:after="0" w:line="240" w:lineRule="auto"/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</w:pPr>
      <w:r w:rsidRPr="00286A10">
        <w:rPr>
          <w:rFonts w:ascii="Lato" w:eastAsia="Times New Roman" w:hAnsi="Lato" w:cs="Times New Roman"/>
          <w:kern w:val="0"/>
          <w:szCs w:val="24"/>
          <w:lang w:eastAsia="it-IT"/>
          <w14:ligatures w14:val="none"/>
        </w:rPr>
        <w:t>E o Senhor do tempo jubilar, que proclama a liberdade dos filhos de Deus.</w:t>
      </w:r>
    </w:p>
    <w:p w14:paraId="76C307E1" w14:textId="77777777" w:rsidR="00A81859" w:rsidRPr="006F6E81" w:rsidRDefault="00A81859" w:rsidP="006F6E81">
      <w:pPr>
        <w:spacing w:after="0"/>
        <w:rPr>
          <w:rFonts w:ascii="Lato" w:hAnsi="Lato"/>
          <w:szCs w:val="24"/>
        </w:rPr>
      </w:pPr>
    </w:p>
    <w:sectPr w:rsidR="00A81859" w:rsidRPr="006F6E81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B2136" w14:textId="77777777" w:rsidR="00E54025" w:rsidRDefault="00E54025" w:rsidP="00631B29">
      <w:pPr>
        <w:spacing w:after="0" w:line="240" w:lineRule="auto"/>
      </w:pPr>
      <w:r>
        <w:separator/>
      </w:r>
    </w:p>
  </w:endnote>
  <w:endnote w:type="continuationSeparator" w:id="0">
    <w:p w14:paraId="7757B326" w14:textId="77777777" w:rsidR="00E54025" w:rsidRDefault="00E54025" w:rsidP="00631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8948903"/>
      <w:docPartObj>
        <w:docPartGallery w:val="Page Numbers (Bottom of Page)"/>
        <w:docPartUnique/>
      </w:docPartObj>
    </w:sdtPr>
    <w:sdtContent>
      <w:p w14:paraId="1FC83F11" w14:textId="65D8E0E0" w:rsidR="00631B29" w:rsidRDefault="00631B29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113D1A8E" w14:textId="77777777" w:rsidR="00631B29" w:rsidRDefault="00631B2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4CAC4" w14:textId="77777777" w:rsidR="00E54025" w:rsidRDefault="00E54025" w:rsidP="00631B29">
      <w:pPr>
        <w:spacing w:after="0" w:line="240" w:lineRule="auto"/>
      </w:pPr>
      <w:r>
        <w:separator/>
      </w:r>
    </w:p>
  </w:footnote>
  <w:footnote w:type="continuationSeparator" w:id="0">
    <w:p w14:paraId="5D9C559D" w14:textId="77777777" w:rsidR="00E54025" w:rsidRDefault="00E54025" w:rsidP="00631B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67868"/>
    <w:multiLevelType w:val="hybridMultilevel"/>
    <w:tmpl w:val="5E94B22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392B18"/>
    <w:multiLevelType w:val="multilevel"/>
    <w:tmpl w:val="F5AC7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0103395">
    <w:abstractNumId w:val="1"/>
  </w:num>
  <w:num w:numId="2" w16cid:durableId="1070150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A10"/>
    <w:rsid w:val="00114EB2"/>
    <w:rsid w:val="00274ADF"/>
    <w:rsid w:val="00286A10"/>
    <w:rsid w:val="002C0EA3"/>
    <w:rsid w:val="003700E3"/>
    <w:rsid w:val="004E6309"/>
    <w:rsid w:val="0060408A"/>
    <w:rsid w:val="00631B29"/>
    <w:rsid w:val="006711B2"/>
    <w:rsid w:val="006F6E81"/>
    <w:rsid w:val="007915EA"/>
    <w:rsid w:val="00860468"/>
    <w:rsid w:val="008A1376"/>
    <w:rsid w:val="00A81859"/>
    <w:rsid w:val="00E050A9"/>
    <w:rsid w:val="00E54025"/>
    <w:rsid w:val="00EE419C"/>
    <w:rsid w:val="00F4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39D2F"/>
  <w15:chartTrackingRefBased/>
  <w15:docId w15:val="{9DED6451-7CF4-436A-8F58-2088F3D71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o Normal"/>
    <w:qFormat/>
    <w:rsid w:val="0060408A"/>
    <w:rPr>
      <w:rFonts w:ascii="Times New Roman" w:hAnsi="Times New Roman"/>
      <w:sz w:val="24"/>
      <w:lang w:val="pt-BR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7915EA"/>
    <w:pPr>
      <w:keepNext/>
      <w:keepLines/>
      <w:spacing w:before="240" w:after="0"/>
      <w:outlineLvl w:val="0"/>
    </w:pPr>
    <w:rPr>
      <w:rFonts w:ascii="Lato" w:eastAsiaTheme="majorEastAsia" w:hAnsi="Lato" w:cstheme="majorBidi"/>
      <w:b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60408A"/>
    <w:pPr>
      <w:keepNext/>
      <w:keepLines/>
      <w:spacing w:before="40" w:after="0"/>
      <w:outlineLvl w:val="1"/>
    </w:pPr>
    <w:rPr>
      <w:rFonts w:eastAsiaTheme="majorEastAsia" w:cstheme="majorBidi"/>
      <w:sz w:val="26"/>
      <w:szCs w:val="26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60408A"/>
    <w:pPr>
      <w:keepNext/>
      <w:keepLines/>
      <w:spacing w:before="40" w:after="0" w:line="360" w:lineRule="auto"/>
      <w:ind w:firstLine="284"/>
      <w:jc w:val="both"/>
      <w:outlineLvl w:val="2"/>
    </w:pPr>
    <w:rPr>
      <w:rFonts w:eastAsiaTheme="majorEastAsia" w:cstheme="majorBidi"/>
      <w:szCs w:val="24"/>
      <w:lang w:val="it-IT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0408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0408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0408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0408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0408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0408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AArial">
    <w:name w:val="A Arial"/>
    <w:basedOn w:val="Normal"/>
    <w:qFormat/>
    <w:rsid w:val="0060408A"/>
    <w:rPr>
      <w:rFonts w:ascii="Arial" w:hAnsi="Arial"/>
    </w:rPr>
  </w:style>
  <w:style w:type="paragraph" w:customStyle="1" w:styleId="ANote">
    <w:name w:val="A Note"/>
    <w:basedOn w:val="AArial"/>
    <w:link w:val="ANoteCarattere"/>
    <w:autoRedefine/>
    <w:qFormat/>
    <w:rsid w:val="0060408A"/>
    <w:rPr>
      <w:rFonts w:ascii="Times New Roman" w:hAnsi="Times New Roman"/>
      <w:sz w:val="20"/>
    </w:rPr>
  </w:style>
  <w:style w:type="character" w:customStyle="1" w:styleId="ANoteCarattere">
    <w:name w:val="A Note Carattere"/>
    <w:basedOn w:val="Fontepargpadro"/>
    <w:link w:val="ANote"/>
    <w:rsid w:val="0060408A"/>
    <w:rPr>
      <w:rFonts w:ascii="Times New Roman" w:hAnsi="Times New Roman"/>
      <w:sz w:val="20"/>
      <w:lang w:val="pt-BR"/>
    </w:rPr>
  </w:style>
  <w:style w:type="paragraph" w:styleId="Ttulo">
    <w:name w:val="Title"/>
    <w:basedOn w:val="Normal"/>
    <w:next w:val="Normal"/>
    <w:link w:val="TtuloChar"/>
    <w:autoRedefine/>
    <w:uiPriority w:val="10"/>
    <w:qFormat/>
    <w:rsid w:val="0060408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0408A"/>
    <w:rPr>
      <w:rFonts w:ascii="Times New Roman" w:eastAsiaTheme="majorEastAsia" w:hAnsi="Times New Roman" w:cstheme="majorBidi"/>
      <w:spacing w:val="-10"/>
      <w:kern w:val="28"/>
      <w:sz w:val="56"/>
      <w:szCs w:val="56"/>
      <w:lang w:val="pt-BR"/>
    </w:rPr>
  </w:style>
  <w:style w:type="character" w:customStyle="1" w:styleId="Ttulo1Char">
    <w:name w:val="Título 1 Char"/>
    <w:basedOn w:val="Fontepargpadro"/>
    <w:link w:val="Ttulo1"/>
    <w:uiPriority w:val="9"/>
    <w:rsid w:val="007915EA"/>
    <w:rPr>
      <w:rFonts w:ascii="Lato" w:eastAsiaTheme="majorEastAsia" w:hAnsi="Lato" w:cstheme="majorBidi"/>
      <w:b/>
      <w:sz w:val="32"/>
      <w:szCs w:val="32"/>
      <w:lang w:val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408A"/>
    <w:rPr>
      <w:rFonts w:ascii="Times New Roman" w:eastAsiaTheme="majorEastAsia" w:hAnsi="Times New Roman" w:cstheme="majorBidi"/>
      <w:sz w:val="26"/>
      <w:szCs w:val="26"/>
      <w:lang w:val="pt-BR"/>
    </w:rPr>
  </w:style>
  <w:style w:type="paragraph" w:styleId="Subttulo">
    <w:name w:val="Subtitle"/>
    <w:basedOn w:val="Normal"/>
    <w:next w:val="Normal"/>
    <w:link w:val="SubttuloChar"/>
    <w:autoRedefine/>
    <w:uiPriority w:val="11"/>
    <w:qFormat/>
    <w:rsid w:val="0060408A"/>
    <w:pPr>
      <w:numPr>
        <w:ilvl w:val="1"/>
      </w:numPr>
    </w:pPr>
    <w:rPr>
      <w:rFonts w:eastAsiaTheme="minorEastAsia"/>
      <w:spacing w:val="15"/>
      <w:sz w:val="28"/>
    </w:rPr>
  </w:style>
  <w:style w:type="character" w:customStyle="1" w:styleId="SubttuloChar">
    <w:name w:val="Subtítulo Char"/>
    <w:basedOn w:val="Fontepargpadro"/>
    <w:link w:val="Subttulo"/>
    <w:uiPriority w:val="11"/>
    <w:rsid w:val="0060408A"/>
    <w:rPr>
      <w:rFonts w:ascii="Times New Roman" w:eastAsiaTheme="minorEastAsia" w:hAnsi="Times New Roman"/>
      <w:spacing w:val="15"/>
      <w:sz w:val="28"/>
      <w:lang w:val="pt-BR"/>
    </w:rPr>
  </w:style>
  <w:style w:type="character" w:customStyle="1" w:styleId="Ttulo3Char">
    <w:name w:val="Título 3 Char"/>
    <w:basedOn w:val="Fontepargpadro"/>
    <w:link w:val="Ttulo3"/>
    <w:uiPriority w:val="9"/>
    <w:rsid w:val="0060408A"/>
    <w:rPr>
      <w:rFonts w:ascii="Times New Roman" w:eastAsiaTheme="majorEastAsia" w:hAnsi="Times New Roman" w:cstheme="majorBidi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0408A"/>
    <w:rPr>
      <w:rFonts w:eastAsiaTheme="majorEastAsia" w:cstheme="majorBidi"/>
      <w:i/>
      <w:iCs/>
      <w:color w:val="0F4761" w:themeColor="accent1" w:themeShade="BF"/>
      <w:sz w:val="24"/>
      <w:lang w:val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0408A"/>
    <w:rPr>
      <w:rFonts w:eastAsiaTheme="majorEastAsia" w:cstheme="majorBidi"/>
      <w:color w:val="0F4761" w:themeColor="accent1" w:themeShade="BF"/>
      <w:sz w:val="24"/>
      <w:lang w:val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0408A"/>
    <w:rPr>
      <w:rFonts w:eastAsiaTheme="majorEastAsia" w:cstheme="majorBidi"/>
      <w:i/>
      <w:iCs/>
      <w:color w:val="595959" w:themeColor="text1" w:themeTint="A6"/>
      <w:sz w:val="24"/>
      <w:lang w:val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0408A"/>
    <w:rPr>
      <w:rFonts w:eastAsiaTheme="majorEastAsia" w:cstheme="majorBidi"/>
      <w:color w:val="595959" w:themeColor="text1" w:themeTint="A6"/>
      <w:sz w:val="24"/>
      <w:lang w:val="pt-B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0408A"/>
    <w:rPr>
      <w:rFonts w:eastAsiaTheme="majorEastAsia" w:cstheme="majorBidi"/>
      <w:i/>
      <w:iCs/>
      <w:color w:val="272727" w:themeColor="text1" w:themeTint="D8"/>
      <w:sz w:val="24"/>
      <w:lang w:val="pt-BR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0408A"/>
    <w:rPr>
      <w:rFonts w:eastAsiaTheme="majorEastAsia" w:cstheme="majorBidi"/>
      <w:color w:val="272727" w:themeColor="text1" w:themeTint="D8"/>
      <w:sz w:val="24"/>
      <w:lang w:val="pt-BR"/>
    </w:rPr>
  </w:style>
  <w:style w:type="paragraph" w:styleId="PargrafodaLista">
    <w:name w:val="List Paragraph"/>
    <w:basedOn w:val="Normal"/>
    <w:uiPriority w:val="34"/>
    <w:qFormat/>
    <w:rsid w:val="0060408A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6040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0408A"/>
    <w:rPr>
      <w:rFonts w:ascii="Times New Roman" w:hAnsi="Times New Roman"/>
      <w:i/>
      <w:iCs/>
      <w:color w:val="404040" w:themeColor="text1" w:themeTint="BF"/>
      <w:sz w:val="24"/>
      <w:lang w:val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040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0408A"/>
    <w:rPr>
      <w:rFonts w:ascii="Times New Roman" w:hAnsi="Times New Roman"/>
      <w:i/>
      <w:iCs/>
      <w:color w:val="0F4761" w:themeColor="accent1" w:themeShade="BF"/>
      <w:sz w:val="24"/>
      <w:lang w:val="pt-BR"/>
    </w:rPr>
  </w:style>
  <w:style w:type="character" w:styleId="nfaseIntensa">
    <w:name w:val="Intense Emphasis"/>
    <w:basedOn w:val="Fontepargpadro"/>
    <w:uiPriority w:val="21"/>
    <w:qFormat/>
    <w:rsid w:val="0060408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0408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31B2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1B29"/>
    <w:rPr>
      <w:rFonts w:ascii="Times New Roman" w:hAnsi="Times New Roman"/>
      <w:sz w:val="24"/>
      <w:lang w:val="pt-BR"/>
    </w:rPr>
  </w:style>
  <w:style w:type="paragraph" w:styleId="Rodap">
    <w:name w:val="footer"/>
    <w:basedOn w:val="Normal"/>
    <w:link w:val="RodapChar"/>
    <w:uiPriority w:val="99"/>
    <w:unhideWhenUsed/>
    <w:rsid w:val="00631B2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1B29"/>
    <w:rPr>
      <w:rFonts w:ascii="Times New Roman" w:hAnsi="Times New Roman"/>
      <w:sz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1263</Words>
  <Characters>7205</Characters>
  <Application>Microsoft Office Word</Application>
  <DocSecurity>0</DocSecurity>
  <Lines>60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22</vt:i4>
      </vt:variant>
    </vt:vector>
  </HeadingPairs>
  <TitlesOfParts>
    <vt:vector size="23" baseType="lpstr">
      <vt:lpstr/>
      <vt:lpstr>        </vt:lpstr>
      <vt:lpstr>        Introdução: O Tempo como dom de Deus</vt:lpstr>
      <vt:lpstr>        </vt:lpstr>
      <vt:lpstr>        1. A Páscoa: festa pastoril da libertação (Ex 12,1-14; Lv 23,4-8)</vt:lpstr>
      <vt:lpstr>        </vt:lpstr>
      <vt:lpstr>        2. Os Ázimos: festa agrícola das primícias (Ex 12,34-39; Lv 23,6-14)</vt:lpstr>
      <vt:lpstr>        3. A unificação das festas e a releitura deuteronomista (2Cr 35,17; Ex 13,3-10)</vt:lpstr>
      <vt:lpstr>        </vt:lpstr>
      <vt:lpstr>        4. A Festa das Semanas ou Pentecostes (Lv 23,15-22)</vt:lpstr>
      <vt:lpstr>        </vt:lpstr>
      <vt:lpstr>        5. A Festa das Trombetas (Lv 23,23-25)</vt:lpstr>
      <vt:lpstr>        </vt:lpstr>
      <vt:lpstr>        6. O Dia da Expiação (Yom Kippur) (Lv 23,26-32)</vt:lpstr>
      <vt:lpstr>        </vt:lpstr>
      <vt:lpstr>        7. A Festa das Tendas (Sukkot) (Lv 23,33-43)</vt:lpstr>
      <vt:lpstr>        </vt:lpstr>
      <vt:lpstr>        8. O Ano Sabático (Lv 25,1-7)</vt:lpstr>
      <vt:lpstr>        </vt:lpstr>
      <vt:lpstr>        9. O Ano Jubilar (Lv 25,8-55)</vt:lpstr>
      <vt:lpstr>        </vt:lpstr>
      <vt:lpstr>    Conclusão: O tempo redimido pela Presença</vt:lpstr>
      <vt:lpstr>    </vt:lpstr>
    </vt:vector>
  </TitlesOfParts>
  <Company/>
  <LinksUpToDate>false</LinksUpToDate>
  <CharactersWithSpaces>8452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Cervi</dc:creator>
  <cp:keywords/>
  <dc:description/>
  <cp:lastModifiedBy>Marcelo Cervi</cp:lastModifiedBy>
  <cp:revision>2</cp:revision>
  <dcterms:created xsi:type="dcterms:W3CDTF">2025-10-04T00:54:00Z</dcterms:created>
  <dcterms:modified xsi:type="dcterms:W3CDTF">2025-10-04T01:39:00Z</dcterms:modified>
</cp:coreProperties>
</file>